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41470092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9D0D3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 پرستاری سالمندی 1: بیماریها و اختلالات جسمی و عملکردی</w:t>
      </w:r>
    </w:p>
    <w:p w14:paraId="3BE85335" w14:textId="5BEDB7CE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9D0D3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ضیاییان- مراکز خدمات جامع سلامت </w:t>
      </w:r>
    </w:p>
    <w:p w14:paraId="5ACCE701" w14:textId="49B140B6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9D0D3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پرستاری سلامت جامعه و سالمندی</w:t>
      </w:r>
    </w:p>
    <w:p w14:paraId="01C6E789" w14:textId="300C6F05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9D0D3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شهزاد پاشایی پور</w:t>
      </w:r>
    </w:p>
    <w:p w14:paraId="46AD21E6" w14:textId="4ACEC74A" w:rsidR="00993245" w:rsidRPr="00872C1B" w:rsidRDefault="00993245" w:rsidP="00F12E0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F12E0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شهزاد پاشایی پور- دکتر سریه پورتقی</w:t>
      </w:r>
    </w:p>
    <w:p w14:paraId="7AFA580F" w14:textId="7A03C33A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9D0D3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hyperlink r:id="rId9" w:history="1">
        <w:r w:rsidR="009D0D3D" w:rsidRPr="002A152A">
          <w:rPr>
            <w:rStyle w:val="Hyperlink"/>
            <w:rFonts w:ascii="Times New Roman" w:hAnsi="Times New Roman" w:cs="B Nazanin"/>
            <w:sz w:val="20"/>
            <w:szCs w:val="28"/>
            <w:lang w:bidi="fa-IR"/>
          </w:rPr>
          <w:t>sh-pashaeipour@tums.ac.ir</w:t>
        </w:r>
      </w:hyperlink>
      <w:r w:rsidR="009D0D3D">
        <w:rPr>
          <w:rFonts w:ascii="Times New Roman" w:hAnsi="Times New Roman" w:cs="B Nazanin"/>
          <w:sz w:val="20"/>
          <w:szCs w:val="28"/>
          <w:lang w:bidi="fa-IR"/>
        </w:rPr>
        <w:t>, 02161054208</w:t>
      </w:r>
    </w:p>
    <w:p w14:paraId="711130AE" w14:textId="40E2C1AF" w:rsidR="007D4D72" w:rsidRDefault="00993245" w:rsidP="00F12E0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F12E0B">
        <w:rPr>
          <w:rFonts w:ascii="Times New Roman" w:hAnsi="Times New Roman" w:cs="B Nazanin" w:hint="cs"/>
          <w:sz w:val="20"/>
          <w:szCs w:val="28"/>
          <w:rtl/>
          <w:lang w:bidi="fa-IR"/>
        </w:rPr>
        <w:t>یک ونیم</w:t>
      </w:r>
      <w:r w:rsidR="009D0D3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66F8E0E0" w:rsidR="00993245" w:rsidRDefault="00993245" w:rsidP="009D0D3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D0D3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E7C7231" w14:textId="75E26BF5" w:rsidR="009D0D3D" w:rsidRPr="009D0D3D" w:rsidRDefault="009D0D3D" w:rsidP="009D0D3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درس منجربه كسب مهارت در زم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نه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ارائه خدمات پرستار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سالمند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به مددجو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با ب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مار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ها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و ناتوان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جسمي و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بهبود</w:t>
      </w:r>
      <w:r>
        <w:rPr>
          <w:rFonts w:ascii="IranNastaliq" w:hAnsi="IranNastaliq" w:cs="B Nazanin"/>
          <w:sz w:val="24"/>
          <w:szCs w:val="24"/>
          <w:rtl/>
          <w:lang w:bidi="fa-IR"/>
        </w:rPr>
        <w:t xml:space="preserve"> تطابق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خانواده آنها به منظور كسب استقلال، بازگشت مددجو به روند معمول زندگي و فعال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تها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اجتماعي و ارتقاء</w:t>
      </w:r>
    </w:p>
    <w:p w14:paraId="74D7EDE7" w14:textId="3735C12E" w:rsidR="009D0D3D" w:rsidRPr="009D0D3D" w:rsidRDefault="009D0D3D" w:rsidP="009D0D3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ك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ف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زندگي و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خواهد شد.</w:t>
      </w:r>
    </w:p>
    <w:p w14:paraId="2D14CF41" w14:textId="77777777" w:rsidR="00993245" w:rsidRDefault="00993245" w:rsidP="00993245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42880E9B" w14:textId="77777777" w:rsidR="00BC7A9F" w:rsidRPr="00BC7A9F" w:rsidRDefault="00BC7A9F" w:rsidP="00BC7A9F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353D0813" w14:textId="1C3BADC9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1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5B47B9B" w14:textId="4834404C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-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بررسي و شناخت از مددجو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سالمند دچار ب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مار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ها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و اختلالات مزمن جسمي را به طور صح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ح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انجام دهند</w:t>
      </w:r>
      <w:r w:rsidRPr="009D0D3D">
        <w:rPr>
          <w:rFonts w:ascii="IranNastaliq" w:hAnsi="IranNastaliq" w:cs="B Nazanin"/>
          <w:sz w:val="24"/>
          <w:szCs w:val="24"/>
          <w:lang w:bidi="fa-IR"/>
        </w:rPr>
        <w:t>.</w:t>
      </w:r>
    </w:p>
    <w:p w14:paraId="07F6DA14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تشخ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ص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مرتبط با مرحله بررسي و شناخت را به طور صح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ح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ل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ست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نما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9D0D3D">
        <w:rPr>
          <w:rFonts w:ascii="IranNastaliq" w:hAnsi="IranNastaliq" w:cs="B Nazanin"/>
          <w:sz w:val="24"/>
          <w:szCs w:val="24"/>
          <w:lang w:bidi="fa-IR"/>
        </w:rPr>
        <w:t>.</w:t>
      </w:r>
    </w:p>
    <w:p w14:paraId="2418F2E8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برا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ندها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كوتاه مدت و بلندمدت مراقبتي خود را تع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نما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9D0D3D">
        <w:rPr>
          <w:rFonts w:ascii="IranNastaliq" w:hAnsi="IranNastaliq" w:cs="B Nazanin"/>
          <w:sz w:val="24"/>
          <w:szCs w:val="24"/>
          <w:lang w:bidi="fa-IR"/>
        </w:rPr>
        <w:t>.</w:t>
      </w:r>
    </w:p>
    <w:p w14:paraId="6C2B6640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مراقبتها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سالمند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بر اساس الگوها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را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ج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سالمند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و توانبخشي را برنامه 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ز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كنند</w:t>
      </w:r>
      <w:r w:rsidRPr="009D0D3D">
        <w:rPr>
          <w:rFonts w:ascii="IranNastaliq" w:hAnsi="IranNastaliq" w:cs="B Nazanin"/>
          <w:sz w:val="24"/>
          <w:szCs w:val="24"/>
          <w:lang w:bidi="fa-IR"/>
        </w:rPr>
        <w:t>.</w:t>
      </w:r>
    </w:p>
    <w:p w14:paraId="57FE9963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مداخلات پرستار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مبتني بر فرا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با همكار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د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گر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اعضا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ت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سالمند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را اجرا كنند</w:t>
      </w:r>
      <w:r w:rsidRPr="009D0D3D">
        <w:rPr>
          <w:rFonts w:ascii="IranNastaliq" w:hAnsi="IranNastaliq" w:cs="B Nazanin"/>
          <w:sz w:val="24"/>
          <w:szCs w:val="24"/>
          <w:lang w:bidi="fa-IR"/>
        </w:rPr>
        <w:t>.</w:t>
      </w:r>
    </w:p>
    <w:p w14:paraId="78A5353C" w14:textId="5D4F59C8" w:rsidR="00BC7A9F" w:rsidRPr="009D0D3D" w:rsidRDefault="009D0D3D" w:rsidP="009D0D3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- م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زان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كارا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ي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اقدامات پرستار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تخصصي در دست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ابي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به برا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ندها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مورد انتظار را مورد ارزش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ابي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قرار دهند.</w:t>
      </w:r>
    </w:p>
    <w:p w14:paraId="00F9F450" w14:textId="77777777" w:rsidR="00BC7A9F" w:rsidRDefault="00BC7A9F" w:rsidP="009D0D3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7FC9E1F" w14:textId="77777777" w:rsidR="002234CF" w:rsidRDefault="002234CF" w:rsidP="009D0D3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E86F37C" w14:textId="17937A01" w:rsidR="00BC7A9F" w:rsidRDefault="00993245" w:rsidP="009D0D3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BC7A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F718961" w14:textId="7D468957" w:rsidR="009D0D3D" w:rsidRDefault="009D0D3D" w:rsidP="009D0D3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کوچک، </w:t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در مباحث و ارایه کنفرانس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</w:p>
    <w:p w14:paraId="3A379272" w14:textId="77777777" w:rsidR="00BC7A9F" w:rsidRPr="00B115DB" w:rsidRDefault="00BC7A9F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AC7F15C" w14:textId="4D70B87E" w:rsidR="00993245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6A0B6C58" w14:textId="65B524AF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رعا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پوشش حرفه 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</w:p>
    <w:p w14:paraId="53485697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توجه به شاخص ها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تعهد حرفه ا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</w:p>
    <w:p w14:paraId="192ECAE8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برقرار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 xml:space="preserve"> ارتباط مناسب با مددجو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</w:p>
    <w:p w14:paraId="332AD6E9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حضور به موقع و فعال در بخش</w:t>
      </w:r>
    </w:p>
    <w:p w14:paraId="0D837E11" w14:textId="77777777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lang w:bidi="fa-IR"/>
        </w:rPr>
        <w:t xml:space="preserve">- </w:t>
      </w: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مشاركت فعال در ارائه خدمات بال</w:t>
      </w:r>
      <w:r w:rsidRPr="009D0D3D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D0D3D">
        <w:rPr>
          <w:rFonts w:ascii="IranNastaliq" w:hAnsi="IranNastaliq" w:cs="B Nazanin" w:hint="eastAsia"/>
          <w:sz w:val="24"/>
          <w:szCs w:val="24"/>
          <w:rtl/>
          <w:lang w:bidi="fa-IR"/>
        </w:rPr>
        <w:t>ني</w:t>
      </w:r>
    </w:p>
    <w:p w14:paraId="7580E3E9" w14:textId="0888085A" w:rsidR="009D0D3D" w:rsidRPr="009D0D3D" w:rsidRDefault="009D0D3D" w:rsidP="009D0D3D">
      <w:pPr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9D0D3D">
        <w:rPr>
          <w:rFonts w:ascii="IranNastaliq" w:hAnsi="IranNastaliq" w:cs="B Nazanin"/>
          <w:sz w:val="24"/>
          <w:szCs w:val="24"/>
          <w:rtl/>
          <w:lang w:bidi="fa-IR"/>
        </w:rPr>
        <w:t>- ارائه به موقع گزارشات شفاهي و كتبي</w:t>
      </w:r>
    </w:p>
    <w:p w14:paraId="27DE7BDA" w14:textId="77777777" w:rsidR="009D0D3D" w:rsidRPr="0056366E" w:rsidRDefault="009D0D3D" w:rsidP="009D0D3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636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-</w:t>
      </w:r>
      <w:r w:rsidRPr="0056366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انتخاب 5 مددجو</w:t>
      </w:r>
      <w:r w:rsidRPr="005636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سالمند دارا</w:t>
      </w:r>
      <w:r w:rsidRPr="005636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ب</w:t>
      </w:r>
      <w:r w:rsidRPr="005636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مار</w:t>
      </w:r>
      <w:r w:rsidRPr="005636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ها</w:t>
      </w:r>
      <w:r w:rsidRPr="005636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حاد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مزمن و اختلالات جسمي و ارائه تداب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پرستار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با تاك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بر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الگوها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پرستار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ی 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سالمند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توانبخشي و ارز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ابي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اقدامات تخصصي انجام شده در دست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ابي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به برا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ندها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مورد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 مددجو و خانواده 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(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ارائه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گزارش ها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مكتوب</w:t>
      </w:r>
      <w:r w:rsidRPr="0056366E">
        <w:rPr>
          <w:rFonts w:asciiTheme="majorBidi" w:hAnsiTheme="majorBidi" w:cs="B Nazanin"/>
          <w:b/>
          <w:bCs/>
          <w:sz w:val="24"/>
          <w:szCs w:val="24"/>
          <w:lang w:bidi="fa-IR"/>
        </w:rPr>
        <w:t>(</w:t>
      </w:r>
    </w:p>
    <w:p w14:paraId="1F76B3DA" w14:textId="1D4222E1" w:rsidR="009D0D3D" w:rsidRPr="0056366E" w:rsidRDefault="009D0D3D" w:rsidP="009D0D3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 انجام 5 فرا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ند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كامل پرستار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 اختلالات جسمي و عملكرد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مددجو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6366E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56366E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سالمند</w:t>
      </w:r>
      <w:r w:rsidRPr="0056366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788C50A4" w14:textId="3AA1CBE8" w:rsidR="00C82300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نوع ارزیابی</w:t>
      </w:r>
      <w:r w:rsidR="001C40E8"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(تکوینی/تراکمی)</w:t>
      </w:r>
    </w:p>
    <w:p w14:paraId="6C18449E" w14:textId="0B974CA1" w:rsidR="000555EE" w:rsidRPr="00531AAB" w:rsidRDefault="000555EE" w:rsidP="000555EE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پوشش حرفه ای: 2 نمره</w:t>
      </w:r>
    </w:p>
    <w:p w14:paraId="51050EBF" w14:textId="10D9A10C" w:rsidR="00C82300" w:rsidRPr="00531AAB" w:rsidRDefault="00C82300" w:rsidP="000555EE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ارزشیابی تکوینی: </w:t>
      </w:r>
      <w:r w:rsidRPr="00531AA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مشاهده اجرا</w:t>
      </w: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31AA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فرا</w:t>
      </w: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31AAB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ند</w:t>
      </w:r>
      <w:r w:rsidRPr="00531AA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پرستار</w:t>
      </w: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31AA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 بخش سالمند</w:t>
      </w: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531AA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گزارش شفاهي و كتبي</w:t>
      </w: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: </w:t>
      </w:r>
      <w:r w:rsidR="000555E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8</w:t>
      </w:r>
      <w:bookmarkStart w:id="0" w:name="_GoBack"/>
      <w:bookmarkEnd w:id="0"/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نمره</w:t>
      </w:r>
    </w:p>
    <w:p w14:paraId="049A6836" w14:textId="224387A6" w:rsidR="009958F7" w:rsidRPr="00892D57" w:rsidRDefault="00C82300" w:rsidP="00C82300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31AA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ارزشیابی تراکمی: 10 فرایند پرستاری: 10 نمره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  <w:r w:rsidR="00993245"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35A6EE70" w14:textId="13B7B94F" w:rsidR="00BC7A9F" w:rsidRDefault="00993245" w:rsidP="00C8230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4189389B" w14:textId="77777777" w:rsidR="00C82300" w:rsidRDefault="00C82300" w:rsidP="00C82300">
      <w:pPr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Eliopoulos Charlotte, Gerontological Nursing. Wolters Kluwer, </w:t>
      </w:r>
      <w:r>
        <w:rPr>
          <w:rFonts w:ascii="BNazanin" w:hAnsi="Times New Roman" w:cs="BNazani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CC28D" w14:textId="484D591E" w:rsidR="00C82300" w:rsidRPr="00BC7A9F" w:rsidRDefault="00C82300" w:rsidP="00C8230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BNazanin" w:hAnsi="Times New Roman" w:cs="Times New Roman" w:hint="cs"/>
          <w:sz w:val="24"/>
          <w:szCs w:val="24"/>
          <w:rtl/>
        </w:rPr>
        <w:t>كتب</w:t>
      </w:r>
      <w:r>
        <w:rPr>
          <w:rFonts w:ascii="BNazanin" w:hAnsi="Times New Roman" w:cs="BNazanin"/>
          <w:sz w:val="24"/>
          <w:szCs w:val="24"/>
        </w:rPr>
        <w:t xml:space="preserve"> </w:t>
      </w:r>
      <w:r>
        <w:rPr>
          <w:rFonts w:ascii="BNazanin" w:hAnsi="Times New Roman" w:cs="Times New Roman" w:hint="cs"/>
          <w:sz w:val="24"/>
          <w:szCs w:val="24"/>
          <w:rtl/>
        </w:rPr>
        <w:t>و</w:t>
      </w:r>
      <w:r>
        <w:rPr>
          <w:rFonts w:ascii="BNazanin" w:hAnsi="Times New Roman" w:cs="BNazanin"/>
          <w:sz w:val="24"/>
          <w:szCs w:val="24"/>
        </w:rPr>
        <w:t xml:space="preserve"> </w:t>
      </w:r>
      <w:r>
        <w:rPr>
          <w:rFonts w:ascii="BNazanin" w:hAnsi="Times New Roman" w:cs="Times New Roman" w:hint="cs"/>
          <w:sz w:val="24"/>
          <w:szCs w:val="24"/>
          <w:rtl/>
        </w:rPr>
        <w:t>مجلات</w:t>
      </w:r>
      <w:r>
        <w:rPr>
          <w:rFonts w:ascii="BNazanin" w:hAnsi="Times New Roman" w:cs="BNazanin"/>
          <w:sz w:val="24"/>
          <w:szCs w:val="24"/>
        </w:rPr>
        <w:t xml:space="preserve"> </w:t>
      </w:r>
      <w:r>
        <w:rPr>
          <w:rFonts w:ascii="BNazanin" w:hAnsi="Times New Roman" w:cs="Times New Roman" w:hint="cs"/>
          <w:sz w:val="24"/>
          <w:szCs w:val="24"/>
          <w:rtl/>
        </w:rPr>
        <w:t>مرتبط</w:t>
      </w:r>
      <w:r>
        <w:rPr>
          <w:rFonts w:ascii="BNazanin" w:hAnsi="Times New Roman" w:cs="BNazanin"/>
          <w:sz w:val="24"/>
          <w:szCs w:val="24"/>
        </w:rPr>
        <w:t xml:space="preserve"> </w:t>
      </w:r>
      <w:r>
        <w:rPr>
          <w:rFonts w:ascii="BNazanin" w:hAnsi="Times New Roman" w:cs="Times New Roman" w:hint="cs"/>
          <w:sz w:val="24"/>
          <w:szCs w:val="24"/>
          <w:rtl/>
        </w:rPr>
        <w:t>با</w:t>
      </w:r>
      <w:r>
        <w:rPr>
          <w:rFonts w:ascii="BNazanin" w:hAnsi="Times New Roman" w:cs="BNazanin"/>
          <w:sz w:val="24"/>
          <w:szCs w:val="24"/>
        </w:rPr>
        <w:t xml:space="preserve"> </w:t>
      </w:r>
      <w:r>
        <w:rPr>
          <w:rFonts w:ascii="BNazanin" w:hAnsi="Times New Roman" w:cs="Times New Roman" w:hint="cs"/>
          <w:sz w:val="24"/>
          <w:szCs w:val="24"/>
          <w:rtl/>
        </w:rPr>
        <w:t>اختلالات</w:t>
      </w:r>
      <w:r>
        <w:rPr>
          <w:rFonts w:ascii="BNazanin" w:hAnsi="Times New Roman" w:cs="BNazanin"/>
          <w:sz w:val="24"/>
          <w:szCs w:val="24"/>
        </w:rPr>
        <w:t xml:space="preserve"> </w:t>
      </w:r>
      <w:r>
        <w:rPr>
          <w:rFonts w:ascii="BNazanin" w:hAnsi="Times New Roman" w:cs="Times New Roman" w:hint="cs"/>
          <w:sz w:val="24"/>
          <w:szCs w:val="24"/>
          <w:rtl/>
        </w:rPr>
        <w:t>در</w:t>
      </w:r>
      <w:r>
        <w:rPr>
          <w:rFonts w:ascii="BNazanin" w:hAnsi="Times New Roman" w:cs="BNazanin"/>
          <w:sz w:val="24"/>
          <w:szCs w:val="24"/>
        </w:rPr>
        <w:t xml:space="preserve"> </w:t>
      </w:r>
      <w:r>
        <w:rPr>
          <w:rFonts w:ascii="BNazanin" w:hAnsi="Times New Roman" w:cs="Times New Roman" w:hint="cs"/>
          <w:sz w:val="24"/>
          <w:szCs w:val="24"/>
          <w:rtl/>
        </w:rPr>
        <w:t>سالمندی</w:t>
      </w:r>
    </w:p>
    <w:p w14:paraId="5A60A053" w14:textId="77777777" w:rsidR="00C82300" w:rsidRDefault="00C82300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7F3747B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1C874D7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23733FF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AD299F2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C68D0B9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C1C3421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108B79F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6791C3E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F3D22F4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772DFD5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D01A527" w14:textId="77777777" w:rsidR="00C82300" w:rsidRDefault="00C82300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451C3020" w:rsidR="00993245" w:rsidRPr="007D345C" w:rsidRDefault="00803159" w:rsidP="00C823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77777777" w:rsidR="00993245" w:rsidRPr="00AE4764" w:rsidRDefault="00993245" w:rsidP="00993245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>تکمیل شود. برخی خانه</w:t>
      </w:r>
      <w:r w:rsidRPr="00AE4764">
        <w:rPr>
          <w:rFonts w:ascii="Times New Roman" w:hAnsi="Times New Roman" w:cs="B Nazanin" w:hint="cs"/>
          <w:sz w:val="20"/>
          <w:szCs w:val="24"/>
          <w:rtl/>
        </w:rPr>
        <w:softHyphen/>
        <w:t xml:space="preserve">های جدول به صورت فرضی و </w:t>
      </w:r>
      <w:r>
        <w:rPr>
          <w:rFonts w:ascii="Times New Roman" w:hAnsi="Times New Roman" w:cs="B Nazanin" w:hint="cs"/>
          <w:sz w:val="20"/>
          <w:szCs w:val="24"/>
          <w:rtl/>
        </w:rPr>
        <w:t>تنها برای مثال، تکمیل شده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>
        <w:rPr>
          <w:rFonts w:ascii="Times New Roman" w:hAnsi="Times New Roman" w:cs="B Nazanin" w:hint="cs"/>
          <w:sz w:val="20"/>
          <w:szCs w:val="24"/>
          <w:rtl/>
        </w:rPr>
        <w:t>اند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.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1"/>
        <w:gridCol w:w="1330"/>
        <w:gridCol w:w="1342"/>
        <w:gridCol w:w="1354"/>
        <w:gridCol w:w="1340"/>
        <w:gridCol w:w="1374"/>
        <w:gridCol w:w="1279"/>
      </w:tblGrid>
      <w:tr w:rsidR="00993245" w:rsidRPr="00872C1B" w14:paraId="5CFA60D5" w14:textId="77777777" w:rsidTr="00AB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EE4780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45" w:type="dxa"/>
          </w:tcPr>
          <w:p w14:paraId="3539D5B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14:paraId="06C97E2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0" w:type="dxa"/>
          </w:tcPr>
          <w:p w14:paraId="7AF8F3AE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56" w:type="dxa"/>
          </w:tcPr>
          <w:p w14:paraId="3BA95AC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88" w:type="dxa"/>
          </w:tcPr>
          <w:p w14:paraId="6B0CC58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5" w:type="dxa"/>
          </w:tcPr>
          <w:p w14:paraId="6402DD8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993245" w:rsidRPr="00853ACF" w14:paraId="05BE9E6B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C61B9D4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lastRenderedPageBreak/>
              <w:t>نوع فعالیت</w:t>
            </w:r>
          </w:p>
        </w:tc>
        <w:tc>
          <w:tcPr>
            <w:tcW w:w="1345" w:type="dxa"/>
          </w:tcPr>
          <w:p w14:paraId="1C22A374" w14:textId="26D5CD6E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بررسی و شناخت</w:t>
            </w:r>
          </w:p>
        </w:tc>
        <w:tc>
          <w:tcPr>
            <w:tcW w:w="1358" w:type="dxa"/>
          </w:tcPr>
          <w:p w14:paraId="77E55DC6" w14:textId="16BCD643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تشخصی و هدف با نظارت مربی</w:t>
            </w:r>
          </w:p>
        </w:tc>
        <w:tc>
          <w:tcPr>
            <w:tcW w:w="1369" w:type="dxa"/>
          </w:tcPr>
          <w:p w14:paraId="354B5D75" w14:textId="42CFBACD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برنامه ریزی</w:t>
            </w:r>
          </w:p>
        </w:tc>
        <w:tc>
          <w:tcPr>
            <w:tcW w:w="1356" w:type="dxa"/>
          </w:tcPr>
          <w:p w14:paraId="5303C8FD" w14:textId="363E2CDB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اقدام </w:t>
            </w:r>
          </w:p>
        </w:tc>
        <w:tc>
          <w:tcPr>
            <w:tcW w:w="1388" w:type="dxa"/>
          </w:tcPr>
          <w:p w14:paraId="53427F14" w14:textId="0F4C0C14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ارزشیابی</w:t>
            </w:r>
          </w:p>
        </w:tc>
        <w:tc>
          <w:tcPr>
            <w:tcW w:w="1305" w:type="dxa"/>
          </w:tcPr>
          <w:p w14:paraId="3912150E" w14:textId="33299A8B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134EB315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CD02AA9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1345" w:type="dxa"/>
          </w:tcPr>
          <w:p w14:paraId="22F44F90" w14:textId="77777777" w:rsidR="00993245" w:rsidRDefault="00C82300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خانم دکتر شهزاد پاشایی پور</w:t>
            </w:r>
          </w:p>
          <w:p w14:paraId="590193A6" w14:textId="05FE08DB" w:rsidR="00C82300" w:rsidRPr="00853ACF" w:rsidRDefault="00C82300" w:rsidP="00F12E0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خانم دکتر </w:t>
            </w:r>
            <w:r w:rsidR="00F12E0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سریه پورتقی</w:t>
            </w:r>
          </w:p>
        </w:tc>
        <w:tc>
          <w:tcPr>
            <w:tcW w:w="1358" w:type="dxa"/>
          </w:tcPr>
          <w:p w14:paraId="2C8A23B1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69" w:type="dxa"/>
          </w:tcPr>
          <w:p w14:paraId="4A8815B7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56" w:type="dxa"/>
          </w:tcPr>
          <w:p w14:paraId="61B5F43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</w:p>
        </w:tc>
        <w:tc>
          <w:tcPr>
            <w:tcW w:w="1388" w:type="dxa"/>
          </w:tcPr>
          <w:p w14:paraId="1C66703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05" w:type="dxa"/>
          </w:tcPr>
          <w:p w14:paraId="20EBDB74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0D41AD95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D38DA1C" w14:textId="73DB204F" w:rsidR="00993245" w:rsidRPr="00853ACF" w:rsidRDefault="00C82300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محل و </w:t>
            </w:r>
            <w:r w:rsidR="00993245"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زمان انجام فعالیت</w:t>
            </w:r>
            <w:r w:rsidR="00FF521C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45" w:type="dxa"/>
          </w:tcPr>
          <w:p w14:paraId="191447D4" w14:textId="00DC9E9A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بیمارستان ضیاییان</w:t>
            </w:r>
          </w:p>
        </w:tc>
        <w:tc>
          <w:tcPr>
            <w:tcW w:w="1358" w:type="dxa"/>
          </w:tcPr>
          <w:p w14:paraId="3A1459D2" w14:textId="0AEA7043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بیمارستان ضیاییان</w:t>
            </w:r>
          </w:p>
        </w:tc>
        <w:tc>
          <w:tcPr>
            <w:tcW w:w="1369" w:type="dxa"/>
          </w:tcPr>
          <w:p w14:paraId="39C6A3E8" w14:textId="5EE171E6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بیمارستان ضیاییان</w:t>
            </w:r>
          </w:p>
        </w:tc>
        <w:tc>
          <w:tcPr>
            <w:tcW w:w="1356" w:type="dxa"/>
          </w:tcPr>
          <w:p w14:paraId="148AD439" w14:textId="09DB658E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بیمارستان ضیاییان</w:t>
            </w:r>
          </w:p>
        </w:tc>
        <w:tc>
          <w:tcPr>
            <w:tcW w:w="1388" w:type="dxa"/>
          </w:tcPr>
          <w:p w14:paraId="2CFC597D" w14:textId="40D39E0D" w:rsidR="00993245" w:rsidRPr="00853ACF" w:rsidRDefault="00C82300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بیمارستان ضیاییان</w:t>
            </w:r>
          </w:p>
        </w:tc>
        <w:tc>
          <w:tcPr>
            <w:tcW w:w="1305" w:type="dxa"/>
          </w:tcPr>
          <w:p w14:paraId="285CDAC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04907AD1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BACE3D4" w14:textId="42115E09" w:rsidR="00993245" w:rsidRPr="00C82300" w:rsidRDefault="00C82300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محل و </w:t>
            </w: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زمان انجام فعالیت</w:t>
            </w:r>
          </w:p>
        </w:tc>
        <w:tc>
          <w:tcPr>
            <w:tcW w:w="1345" w:type="dxa"/>
          </w:tcPr>
          <w:p w14:paraId="22AD066C" w14:textId="5D5EA9A8" w:rsidR="00993245" w:rsidRPr="00C82300" w:rsidRDefault="00C82300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 w:rsidRPr="00C82300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 xml:space="preserve">مرکز خدمات سلامت </w:t>
            </w:r>
          </w:p>
        </w:tc>
        <w:tc>
          <w:tcPr>
            <w:tcW w:w="1358" w:type="dxa"/>
          </w:tcPr>
          <w:p w14:paraId="62DC1EDF" w14:textId="706AF496" w:rsidR="00993245" w:rsidRPr="00C82300" w:rsidRDefault="00C82300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 w:rsidRPr="00C82300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>مرکز خدمات سلامت</w:t>
            </w:r>
          </w:p>
        </w:tc>
        <w:tc>
          <w:tcPr>
            <w:tcW w:w="1369" w:type="dxa"/>
          </w:tcPr>
          <w:p w14:paraId="31992F59" w14:textId="52360A17" w:rsidR="00993245" w:rsidRPr="00C82300" w:rsidRDefault="00C82300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 w:rsidRPr="00C82300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>مرکز خدمات سلامت</w:t>
            </w:r>
          </w:p>
        </w:tc>
        <w:tc>
          <w:tcPr>
            <w:tcW w:w="1356" w:type="dxa"/>
          </w:tcPr>
          <w:p w14:paraId="5CBA371B" w14:textId="7E2DE7E6" w:rsidR="00993245" w:rsidRPr="00C82300" w:rsidRDefault="00C82300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 w:rsidRPr="00C82300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>مرکز خدمات سلامت</w:t>
            </w:r>
          </w:p>
        </w:tc>
        <w:tc>
          <w:tcPr>
            <w:tcW w:w="1388" w:type="dxa"/>
          </w:tcPr>
          <w:p w14:paraId="6EE0F57A" w14:textId="422650B3" w:rsidR="00993245" w:rsidRPr="00C82300" w:rsidRDefault="00C82300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lang w:bidi="fa-IR"/>
              </w:rPr>
            </w:pPr>
            <w:r w:rsidRPr="00C82300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>مرکز خدمات سلامت</w:t>
            </w:r>
          </w:p>
        </w:tc>
        <w:tc>
          <w:tcPr>
            <w:tcW w:w="1305" w:type="dxa"/>
          </w:tcPr>
          <w:p w14:paraId="47362E0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</w:tr>
    </w:tbl>
    <w:p w14:paraId="35C46736" w14:textId="77777777" w:rsidR="002F10FD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06F527C" w14:textId="6DC9483F" w:rsidR="00BC7A9F" w:rsidRDefault="00BC7A9F">
      <w:pPr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</w:p>
    <w:p w14:paraId="5DE57CFD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3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7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8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2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3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4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2233A0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C7732A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13DE3AF5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F88952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90A1" w14:textId="77777777" w:rsidR="00782FEF" w:rsidRDefault="00782FEF" w:rsidP="00275357">
      <w:pPr>
        <w:spacing w:after="0" w:line="240" w:lineRule="auto"/>
      </w:pPr>
      <w:r>
        <w:separator/>
      </w:r>
    </w:p>
  </w:endnote>
  <w:endnote w:type="continuationSeparator" w:id="0">
    <w:p w14:paraId="55236E83" w14:textId="77777777" w:rsidR="00782FEF" w:rsidRDefault="00782FEF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38CDAEFA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C8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474DE" w14:textId="77777777" w:rsidR="00782FEF" w:rsidRDefault="00782FEF" w:rsidP="00275357">
      <w:pPr>
        <w:spacing w:after="0" w:line="240" w:lineRule="auto"/>
      </w:pPr>
      <w:r>
        <w:separator/>
      </w:r>
    </w:p>
  </w:footnote>
  <w:footnote w:type="continuationSeparator" w:id="0">
    <w:p w14:paraId="3D0399A6" w14:textId="77777777" w:rsidR="00782FEF" w:rsidRDefault="00782FEF" w:rsidP="00275357">
      <w:pPr>
        <w:spacing w:after="0" w:line="240" w:lineRule="auto"/>
      </w:pPr>
      <w:r>
        <w:continuationSeparator/>
      </w:r>
    </w:p>
  </w:footnote>
  <w:footnote w:id="1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2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3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4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5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6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7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8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9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0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2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3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4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5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6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5EE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D752E"/>
    <w:rsid w:val="002E0A89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21027"/>
    <w:rsid w:val="00530C4E"/>
    <w:rsid w:val="00531AAB"/>
    <w:rsid w:val="00533C4F"/>
    <w:rsid w:val="005479C8"/>
    <w:rsid w:val="00547EA3"/>
    <w:rsid w:val="00562ABB"/>
    <w:rsid w:val="0056366E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2FEF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0C88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02ED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3D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300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0FBD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B"/>
    <w:rsid w:val="00F12E0F"/>
    <w:rsid w:val="00F2031D"/>
    <w:rsid w:val="00F21B31"/>
    <w:rsid w:val="00F378AD"/>
    <w:rsid w:val="00F419AC"/>
    <w:rsid w:val="00F4239F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1A7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-pashaeipour@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815F-11B2-4BE8-AF16-F23EBE8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4512</Characters>
  <Application>Microsoft Office Word</Application>
  <DocSecurity>0</DocSecurity>
  <Lines>322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Shahzad</cp:lastModifiedBy>
  <cp:revision>2</cp:revision>
  <cp:lastPrinted>2020-08-04T07:19:00Z</cp:lastPrinted>
  <dcterms:created xsi:type="dcterms:W3CDTF">2024-02-02T15:29:00Z</dcterms:created>
  <dcterms:modified xsi:type="dcterms:W3CDTF">2024-02-02T15:29:00Z</dcterms:modified>
</cp:coreProperties>
</file>